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665A9" w14:textId="66D35348" w:rsidR="00926392" w:rsidRPr="009D63FB" w:rsidRDefault="003E5991" w:rsidP="009D63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3475" wp14:editId="60353AFD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E951B" w14:textId="538BF4EC" w:rsidR="003E5991" w:rsidRPr="00D344EF" w:rsidRDefault="003E5991" w:rsidP="003E5991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="001A1D32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2015</w:t>
                            </w:r>
                            <w:bookmarkStart w:id="0" w:name="_GoBack"/>
                            <w:bookmarkEnd w:id="0"/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CAEBE6" w14:textId="77777777" w:rsidR="003E5991" w:rsidRPr="00D344EF" w:rsidRDefault="003E5991" w:rsidP="003E5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ip2tMCAAAT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" filled="f" stroked="f">
                <v:textbox>
                  <w:txbxContent>
                    <w:p w14:paraId="1F9E951B" w14:textId="538BF4EC" w:rsidR="003E5991" w:rsidRPr="00D344EF" w:rsidRDefault="003E5991" w:rsidP="003E5991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="001A1D32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2015</w:t>
                      </w:r>
                      <w:bookmarkStart w:id="1" w:name="_GoBack"/>
                      <w:bookmarkEnd w:id="1"/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21CAEBE6" w14:textId="77777777" w:rsidR="003E5991" w:rsidRPr="00D344EF" w:rsidRDefault="003E5991" w:rsidP="003E5991"/>
                  </w:txbxContent>
                </v:textbox>
                <w10:wrap type="square"/>
              </v:shape>
            </w:pict>
          </mc:Fallback>
        </mc:AlternateContent>
      </w:r>
      <w:r w:rsidR="00553C8B">
        <w:rPr>
          <w:b/>
          <w:sz w:val="32"/>
          <w:szCs w:val="32"/>
        </w:rPr>
        <w:t>P</w:t>
      </w:r>
      <w:r w:rsidR="00926392" w:rsidRPr="009D63FB">
        <w:rPr>
          <w:b/>
          <w:sz w:val="32"/>
          <w:szCs w:val="32"/>
        </w:rPr>
        <w:t xml:space="preserve">rocessus d’interprétation d’un document sonore, </w:t>
      </w:r>
      <w:r w:rsidR="00794F3E">
        <w:rPr>
          <w:b/>
          <w:sz w:val="32"/>
          <w:szCs w:val="32"/>
        </w:rPr>
        <w:br/>
      </w:r>
      <w:r w:rsidR="00926392" w:rsidRPr="009D63FB">
        <w:rPr>
          <w:b/>
          <w:sz w:val="32"/>
          <w:szCs w:val="32"/>
        </w:rPr>
        <w:t>visuel</w:t>
      </w:r>
      <w:r w:rsidR="00794F3E">
        <w:rPr>
          <w:b/>
          <w:sz w:val="32"/>
          <w:szCs w:val="32"/>
        </w:rPr>
        <w:t xml:space="preserve"> ou audiovisuel</w:t>
      </w:r>
    </w:p>
    <w:tbl>
      <w:tblPr>
        <w:tblpPr w:leftFromText="141" w:rightFromText="141" w:vertAnchor="page" w:horzAnchor="page" w:tblpX="1166" w:tblpY="19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43"/>
        <w:gridCol w:w="2835"/>
      </w:tblGrid>
      <w:tr w:rsidR="00926392" w:rsidRPr="00467FAD" w14:paraId="1841CA74" w14:textId="77777777" w:rsidTr="00AE776B">
        <w:tc>
          <w:tcPr>
            <w:tcW w:w="4111" w:type="dxa"/>
            <w:shd w:val="clear" w:color="auto" w:fill="D9D9D9"/>
            <w:vAlign w:val="center"/>
          </w:tcPr>
          <w:p w14:paraId="3936FC0A" w14:textId="77777777" w:rsidR="00926392" w:rsidRPr="00467FAD" w:rsidRDefault="00926392" w:rsidP="009D63FB">
            <w:pPr>
              <w:spacing w:before="60" w:after="60" w:line="240" w:lineRule="auto"/>
              <w:jc w:val="center"/>
              <w:rPr>
                <w:rFonts w:ascii="Calibri" w:eastAsia="Calibri" w:hAnsi="Calibri" w:cs="Opus-Regular"/>
                <w:b/>
                <w:sz w:val="22"/>
              </w:rPr>
            </w:pPr>
            <w:r>
              <w:rPr>
                <w:rFonts w:ascii="Calibri" w:eastAsia="Calibri" w:hAnsi="Calibri" w:cs="Opus-Regular"/>
                <w:b/>
                <w:sz w:val="22"/>
              </w:rPr>
              <w:t>Processus d’interprétation d’un document sonore, visuel ou audiovisuel</w:t>
            </w:r>
          </w:p>
        </w:tc>
        <w:tc>
          <w:tcPr>
            <w:tcW w:w="5778" w:type="dxa"/>
            <w:gridSpan w:val="2"/>
            <w:shd w:val="clear" w:color="auto" w:fill="D9D9D9"/>
            <w:vAlign w:val="center"/>
          </w:tcPr>
          <w:p w14:paraId="0D6FE21A" w14:textId="77777777" w:rsidR="00926392" w:rsidRPr="00467FAD" w:rsidRDefault="00926392" w:rsidP="00926392">
            <w:pPr>
              <w:spacing w:before="60" w:after="60"/>
              <w:jc w:val="center"/>
              <w:rPr>
                <w:rFonts w:ascii="Calibri" w:eastAsia="Calibri" w:hAnsi="Calibri" w:cs="Opus-Regular"/>
                <w:b/>
                <w:sz w:val="22"/>
              </w:rPr>
            </w:pPr>
            <w:r>
              <w:rPr>
                <w:rFonts w:ascii="Calibri" w:eastAsia="Calibri" w:hAnsi="Calibri" w:cs="Opus-Regular"/>
                <w:b/>
                <w:sz w:val="22"/>
              </w:rPr>
              <w:t>Prise de notes</w:t>
            </w:r>
          </w:p>
        </w:tc>
      </w:tr>
      <w:tr w:rsidR="00926392" w14:paraId="6769FA1C" w14:textId="77777777" w:rsidTr="00AE776B">
        <w:tc>
          <w:tcPr>
            <w:tcW w:w="4111" w:type="dxa"/>
            <w:shd w:val="clear" w:color="auto" w:fill="auto"/>
          </w:tcPr>
          <w:p w14:paraId="2F0070CD" w14:textId="77777777" w:rsidR="00926392" w:rsidRPr="00467FAD" w:rsidRDefault="00926392" w:rsidP="00926392">
            <w:pPr>
              <w:spacing w:before="60" w:after="60" w:line="240" w:lineRule="auto"/>
              <w:rPr>
                <w:rFonts w:ascii="Calibri" w:eastAsia="Calibri" w:hAnsi="Calibri" w:cs="Opus-Regular"/>
                <w:b/>
                <w:sz w:val="22"/>
              </w:rPr>
            </w:pPr>
            <w:r>
              <w:rPr>
                <w:rFonts w:ascii="Calibri" w:eastAsia="Calibri" w:hAnsi="Calibri" w:cs="Opus-Regular"/>
                <w:b/>
                <w:sz w:val="22"/>
              </w:rPr>
              <w:t>Avant l’</w:t>
            </w:r>
            <w:r w:rsidRPr="00467FAD">
              <w:rPr>
                <w:rFonts w:ascii="Calibri" w:eastAsia="Calibri" w:hAnsi="Calibri" w:cs="Opus-Regular"/>
                <w:b/>
                <w:sz w:val="22"/>
              </w:rPr>
              <w:t>écoute : préparation</w:t>
            </w:r>
          </w:p>
          <w:p w14:paraId="3EF425D7" w14:textId="77777777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>
              <w:t>activer</w:t>
            </w:r>
            <w:r w:rsidRPr="00467FAD">
              <w:t xml:space="preserve"> ses connaissances antérieures sur le sujet;</w:t>
            </w:r>
          </w:p>
          <w:p w14:paraId="375C79E1" w14:textId="77777777" w:rsidR="00926392" w:rsidRPr="00C33D3E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>
              <w:t>émettre des hypothèses sur le contenu.</w:t>
            </w:r>
          </w:p>
        </w:tc>
        <w:tc>
          <w:tcPr>
            <w:tcW w:w="5778" w:type="dxa"/>
            <w:gridSpan w:val="2"/>
            <w:shd w:val="clear" w:color="auto" w:fill="auto"/>
          </w:tcPr>
          <w:p w14:paraId="71BC7F3B" w14:textId="77777777" w:rsidR="00926392" w:rsidRDefault="00926392" w:rsidP="00926392">
            <w:pPr>
              <w:spacing w:before="60" w:after="60"/>
            </w:pPr>
          </w:p>
        </w:tc>
      </w:tr>
      <w:tr w:rsidR="00926392" w14:paraId="712B9F43" w14:textId="77777777" w:rsidTr="00AE776B">
        <w:tc>
          <w:tcPr>
            <w:tcW w:w="4111" w:type="dxa"/>
            <w:shd w:val="clear" w:color="auto" w:fill="D9D9D9"/>
          </w:tcPr>
          <w:p w14:paraId="67ACF1CA" w14:textId="77777777" w:rsidR="00926392" w:rsidRPr="00467FAD" w:rsidRDefault="00926392" w:rsidP="00926392">
            <w:pPr>
              <w:spacing w:before="60" w:after="60" w:line="240" w:lineRule="auto"/>
              <w:rPr>
                <w:rFonts w:ascii="Calibri" w:eastAsia="Calibri" w:hAnsi="Calibri" w:cs="Opus-Regular"/>
                <w:b/>
                <w:sz w:val="22"/>
              </w:rPr>
            </w:pPr>
          </w:p>
        </w:tc>
        <w:tc>
          <w:tcPr>
            <w:tcW w:w="2943" w:type="dxa"/>
            <w:shd w:val="clear" w:color="auto" w:fill="D9D9D9"/>
          </w:tcPr>
          <w:p w14:paraId="70C4C89E" w14:textId="77777777" w:rsidR="00926392" w:rsidRPr="00467FAD" w:rsidRDefault="00926392" w:rsidP="009D63FB">
            <w:pPr>
              <w:spacing w:before="60" w:after="60" w:line="240" w:lineRule="auto"/>
              <w:jc w:val="center"/>
              <w:rPr>
                <w:rFonts w:ascii="Calibri" w:eastAsia="Calibri" w:hAnsi="Calibri" w:cs="Opus-Regular"/>
                <w:b/>
                <w:sz w:val="22"/>
              </w:rPr>
            </w:pPr>
            <w:r w:rsidRPr="00467FAD">
              <w:rPr>
                <w:rFonts w:ascii="Calibri" w:eastAsia="Calibri" w:hAnsi="Calibri" w:cs="Opus-Regular"/>
                <w:b/>
                <w:sz w:val="22"/>
              </w:rPr>
              <w:t>1</w:t>
            </w:r>
            <w:r w:rsidRPr="00467FAD">
              <w:rPr>
                <w:rFonts w:ascii="Calibri" w:eastAsia="Calibri" w:hAnsi="Calibri" w:cs="Opus-Regular"/>
                <w:b/>
                <w:sz w:val="22"/>
                <w:vertAlign w:val="superscript"/>
              </w:rPr>
              <w:t>re</w:t>
            </w:r>
            <w:r w:rsidRPr="00467FAD">
              <w:rPr>
                <w:rFonts w:ascii="Calibri" w:eastAsia="Calibri" w:hAnsi="Calibri" w:cs="Opus-Regular"/>
                <w:b/>
                <w:sz w:val="22"/>
              </w:rPr>
              <w:t xml:space="preserve"> écoute</w:t>
            </w:r>
            <w:r>
              <w:rPr>
                <w:rFonts w:ascii="Calibri" w:eastAsia="Calibri" w:hAnsi="Calibri" w:cs="Opus-Regular"/>
                <w:b/>
                <w:sz w:val="22"/>
              </w:rPr>
              <w:br/>
            </w:r>
            <w:r w:rsidRPr="00467FAD">
              <w:rPr>
                <w:rFonts w:ascii="Calibri" w:eastAsia="Calibri" w:hAnsi="Calibri" w:cs="Opus-Regular"/>
                <w:b/>
                <w:sz w:val="22"/>
              </w:rPr>
              <w:t>Écoute globale</w:t>
            </w:r>
          </w:p>
        </w:tc>
        <w:tc>
          <w:tcPr>
            <w:tcW w:w="2835" w:type="dxa"/>
            <w:shd w:val="clear" w:color="auto" w:fill="D9D9D9"/>
          </w:tcPr>
          <w:p w14:paraId="4851475D" w14:textId="77777777" w:rsidR="00926392" w:rsidRDefault="00926392" w:rsidP="009D63FB">
            <w:pPr>
              <w:spacing w:before="60" w:after="60" w:line="240" w:lineRule="auto"/>
              <w:jc w:val="center"/>
            </w:pPr>
            <w:r w:rsidRPr="00467FAD">
              <w:rPr>
                <w:rFonts w:ascii="Calibri" w:eastAsia="Calibri" w:hAnsi="Calibri" w:cs="Opus-Regular"/>
                <w:b/>
                <w:sz w:val="22"/>
              </w:rPr>
              <w:t>2</w:t>
            </w:r>
            <w:r w:rsidRPr="00467FAD">
              <w:rPr>
                <w:rFonts w:ascii="Calibri" w:eastAsia="Calibri" w:hAnsi="Calibri" w:cs="Opus-Regular"/>
                <w:b/>
                <w:sz w:val="22"/>
                <w:vertAlign w:val="superscript"/>
              </w:rPr>
              <w:t>e</w:t>
            </w:r>
            <w:r w:rsidRPr="00467FAD">
              <w:rPr>
                <w:rFonts w:ascii="Calibri" w:eastAsia="Calibri" w:hAnsi="Calibri" w:cs="Opus-Regular"/>
                <w:b/>
                <w:sz w:val="22"/>
              </w:rPr>
              <w:t xml:space="preserve"> écoute</w:t>
            </w:r>
            <w:r>
              <w:rPr>
                <w:rFonts w:ascii="Calibri" w:eastAsia="Calibri" w:hAnsi="Calibri" w:cs="Opus-Regular"/>
                <w:b/>
                <w:sz w:val="22"/>
              </w:rPr>
              <w:br/>
            </w:r>
            <w:r w:rsidRPr="00467FAD">
              <w:rPr>
                <w:rFonts w:ascii="Calibri" w:eastAsia="Calibri" w:hAnsi="Calibri" w:cs="Opus-Regular"/>
                <w:b/>
                <w:sz w:val="22"/>
              </w:rPr>
              <w:t xml:space="preserve">Écoute </w:t>
            </w:r>
            <w:r>
              <w:rPr>
                <w:rFonts w:ascii="Calibri" w:eastAsia="Calibri" w:hAnsi="Calibri" w:cs="Opus-Regular"/>
                <w:b/>
                <w:sz w:val="22"/>
              </w:rPr>
              <w:t>analytique</w:t>
            </w:r>
          </w:p>
        </w:tc>
      </w:tr>
      <w:tr w:rsidR="00926392" w14:paraId="6AAD3AB1" w14:textId="77777777" w:rsidTr="00926392">
        <w:trPr>
          <w:trHeight w:val="4116"/>
        </w:trPr>
        <w:tc>
          <w:tcPr>
            <w:tcW w:w="4111" w:type="dxa"/>
            <w:shd w:val="clear" w:color="auto" w:fill="auto"/>
          </w:tcPr>
          <w:p w14:paraId="3189BD6F" w14:textId="77777777" w:rsidR="00926392" w:rsidRPr="00467FAD" w:rsidRDefault="00926392" w:rsidP="00926392">
            <w:pPr>
              <w:spacing w:before="60" w:after="60" w:line="240" w:lineRule="auto"/>
              <w:rPr>
                <w:rFonts w:ascii="Calibri" w:eastAsia="Calibri" w:hAnsi="Calibri" w:cs="Opus-Regular"/>
                <w:b/>
                <w:sz w:val="22"/>
              </w:rPr>
            </w:pPr>
            <w:r>
              <w:rPr>
                <w:rFonts w:ascii="Calibri" w:eastAsia="Calibri" w:hAnsi="Calibri" w:cs="Opus-Regular"/>
                <w:b/>
                <w:sz w:val="22"/>
              </w:rPr>
              <w:t>Pendant l</w:t>
            </w:r>
            <w:r w:rsidRPr="00467FAD">
              <w:rPr>
                <w:rFonts w:ascii="Calibri" w:eastAsia="Calibri" w:hAnsi="Calibri" w:cs="Opus-Regular"/>
                <w:b/>
                <w:sz w:val="22"/>
              </w:rPr>
              <w:t>’écoute : compréhension</w:t>
            </w:r>
          </w:p>
          <w:p w14:paraId="0C351AFA" w14:textId="77777777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 w:rsidRPr="00467FAD">
              <w:t>déterminer l’émetteur, le destinataire, l’intention, le message et le contexte;</w:t>
            </w:r>
          </w:p>
          <w:p w14:paraId="6C589F84" w14:textId="77777777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 w:rsidRPr="00467FAD">
              <w:t>relever l’information explicite;</w:t>
            </w:r>
          </w:p>
          <w:p w14:paraId="1EEC7BB9" w14:textId="77777777" w:rsidR="00926392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 w:rsidRPr="00467FAD">
              <w:t>dégager l’information implicite;</w:t>
            </w:r>
          </w:p>
          <w:p w14:paraId="715329EB" w14:textId="77777777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>
              <w:t>vérifier les hypothèses émises ;</w:t>
            </w:r>
          </w:p>
          <w:p w14:paraId="1E7C01AD" w14:textId="34157ACE" w:rsidR="00926392" w:rsidRPr="00361E50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 w:rsidRPr="00467FAD">
              <w:t>analyser le document sonore</w:t>
            </w:r>
            <w:r w:rsidR="00242538">
              <w:t>, visuel</w:t>
            </w:r>
            <w:r>
              <w:t xml:space="preserve"> ou audiovisuel</w:t>
            </w:r>
            <w:r w:rsidRPr="00467FAD">
              <w:t xml:space="preserve"> en fonction :</w:t>
            </w:r>
          </w:p>
          <w:p w14:paraId="16591381" w14:textId="77777777" w:rsidR="00926392" w:rsidRPr="00467FAD" w:rsidRDefault="00926392" w:rsidP="00926392">
            <w:pPr>
              <w:pStyle w:val="Tiret"/>
              <w:framePr w:hSpace="0" w:wrap="auto" w:hAnchor="text" w:xAlign="left" w:yAlign="inline"/>
              <w:spacing w:after="60"/>
            </w:pPr>
            <w:r w:rsidRPr="00467FAD">
              <w:t>de l’ordre de présentation des faits;</w:t>
            </w:r>
          </w:p>
          <w:p w14:paraId="724E048A" w14:textId="77777777" w:rsidR="00926392" w:rsidRPr="00467FAD" w:rsidRDefault="00926392" w:rsidP="00926392">
            <w:pPr>
              <w:pStyle w:val="Tiret"/>
              <w:framePr w:hSpace="0" w:wrap="auto" w:hAnchor="text" w:xAlign="left" w:yAlign="inline"/>
              <w:spacing w:after="60"/>
            </w:pPr>
            <w:r w:rsidRPr="00467FAD">
              <w:t>des transitions, des organisateurs textuels, des marqueurs de relation;</w:t>
            </w:r>
          </w:p>
          <w:p w14:paraId="361129AE" w14:textId="77777777" w:rsidR="00926392" w:rsidRPr="007B5A6E" w:rsidRDefault="00926392" w:rsidP="00926392">
            <w:pPr>
              <w:pStyle w:val="Tiret"/>
              <w:framePr w:hSpace="0" w:wrap="auto" w:hAnchor="text" w:xAlign="left" w:yAlign="inline"/>
              <w:spacing w:after="60"/>
              <w:rPr>
                <w:b/>
              </w:rPr>
            </w:pPr>
            <w:r w:rsidRPr="00467FAD">
              <w:t xml:space="preserve">du changement de débit ou de volume; </w:t>
            </w:r>
          </w:p>
          <w:p w14:paraId="4B78C251" w14:textId="77777777" w:rsidR="00926392" w:rsidRPr="00361E50" w:rsidRDefault="00926392" w:rsidP="00926392">
            <w:pPr>
              <w:pStyle w:val="Tiret"/>
              <w:framePr w:hSpace="0" w:wrap="auto" w:hAnchor="text" w:xAlign="left" w:yAlign="inline"/>
              <w:spacing w:after="60"/>
              <w:rPr>
                <w:b/>
              </w:rPr>
            </w:pPr>
            <w:r w:rsidRPr="00467FAD">
              <w:t>du non-verbal</w:t>
            </w:r>
            <w:r>
              <w:t>;</w:t>
            </w:r>
          </w:p>
          <w:p w14:paraId="72C3698D" w14:textId="77777777" w:rsidR="00926392" w:rsidRPr="00467FAD" w:rsidRDefault="00926392" w:rsidP="00926392">
            <w:pPr>
              <w:pStyle w:val="Tiret"/>
              <w:framePr w:hSpace="0" w:wrap="auto" w:hAnchor="text" w:xAlign="left" w:yAlign="inline"/>
              <w:spacing w:after="60"/>
              <w:rPr>
                <w:b/>
              </w:rPr>
            </w:pPr>
            <w:r w:rsidRPr="00467FAD">
              <w:t>du ton, du point de vue, du registre de langue.</w:t>
            </w:r>
          </w:p>
        </w:tc>
        <w:tc>
          <w:tcPr>
            <w:tcW w:w="2943" w:type="dxa"/>
            <w:shd w:val="clear" w:color="auto" w:fill="auto"/>
          </w:tcPr>
          <w:p w14:paraId="4DB5350B" w14:textId="77777777" w:rsidR="00926392" w:rsidRDefault="00926392" w:rsidP="00926392">
            <w:pPr>
              <w:spacing w:before="60" w:after="60"/>
            </w:pPr>
          </w:p>
        </w:tc>
        <w:tc>
          <w:tcPr>
            <w:tcW w:w="2835" w:type="dxa"/>
            <w:shd w:val="clear" w:color="auto" w:fill="auto"/>
          </w:tcPr>
          <w:p w14:paraId="3BC0B359" w14:textId="77777777" w:rsidR="00926392" w:rsidRDefault="00926392" w:rsidP="00926392">
            <w:pPr>
              <w:spacing w:before="60" w:after="60"/>
            </w:pPr>
          </w:p>
        </w:tc>
      </w:tr>
      <w:tr w:rsidR="00926392" w14:paraId="71A0C6E9" w14:textId="77777777" w:rsidTr="00AE776B">
        <w:tc>
          <w:tcPr>
            <w:tcW w:w="4111" w:type="dxa"/>
            <w:shd w:val="clear" w:color="auto" w:fill="auto"/>
          </w:tcPr>
          <w:p w14:paraId="12B17E95" w14:textId="77777777" w:rsidR="00926392" w:rsidRPr="005808FB" w:rsidRDefault="00926392" w:rsidP="00926392">
            <w:pPr>
              <w:spacing w:before="60" w:after="60" w:line="240" w:lineRule="auto"/>
              <w:rPr>
                <w:rFonts w:ascii="Calibri" w:eastAsia="Calibri" w:hAnsi="Calibri" w:cs="Opus-Regular"/>
                <w:b/>
                <w:sz w:val="22"/>
              </w:rPr>
            </w:pPr>
            <w:r>
              <w:rPr>
                <w:rFonts w:ascii="Calibri" w:eastAsia="Calibri" w:hAnsi="Calibri" w:cs="Opus-Regular"/>
                <w:b/>
                <w:sz w:val="22"/>
              </w:rPr>
              <w:t>A</w:t>
            </w:r>
            <w:r w:rsidRPr="005808FB">
              <w:rPr>
                <w:rFonts w:ascii="Calibri" w:eastAsia="Calibri" w:hAnsi="Calibri" w:cs="Opus-Regular"/>
                <w:b/>
                <w:sz w:val="22"/>
              </w:rPr>
              <w:t>près</w:t>
            </w:r>
            <w:r>
              <w:rPr>
                <w:rFonts w:ascii="Calibri" w:eastAsia="Calibri" w:hAnsi="Calibri" w:cs="Opus-Regular"/>
                <w:b/>
                <w:sz w:val="22"/>
              </w:rPr>
              <w:t xml:space="preserve"> l’</w:t>
            </w:r>
            <w:r w:rsidRPr="005808FB">
              <w:rPr>
                <w:rFonts w:ascii="Calibri" w:eastAsia="Calibri" w:hAnsi="Calibri" w:cs="Opus-Regular"/>
                <w:b/>
                <w:sz w:val="22"/>
              </w:rPr>
              <w:t>écoute : réaction</w:t>
            </w:r>
          </w:p>
          <w:p w14:paraId="3E51CB48" w14:textId="77777777" w:rsidR="00926392" w:rsidRPr="005808FB" w:rsidRDefault="00926392" w:rsidP="00926392">
            <w:pPr>
              <w:spacing w:before="60" w:after="60" w:line="240" w:lineRule="auto"/>
              <w:rPr>
                <w:rFonts w:ascii="Calibri" w:eastAsia="Calibri" w:hAnsi="Calibri" w:cs="Opus-Regular"/>
                <w:b/>
                <w:sz w:val="22"/>
              </w:rPr>
            </w:pPr>
            <w:r w:rsidRPr="005808FB">
              <w:rPr>
                <w:rFonts w:ascii="Calibri" w:eastAsia="Calibri" w:hAnsi="Calibri" w:cs="Opus-Regular"/>
                <w:b/>
                <w:sz w:val="22"/>
              </w:rPr>
              <w:t>Retour sur le message écouté</w:t>
            </w:r>
          </w:p>
          <w:p w14:paraId="62F068FD" w14:textId="77777777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  <w:rPr>
                <w:b/>
              </w:rPr>
            </w:pPr>
            <w:r w:rsidRPr="00467FAD">
              <w:t xml:space="preserve">clarifier sa compréhension à l’aide de questions, de reformulations ou de commentaires explicites; </w:t>
            </w:r>
          </w:p>
          <w:p w14:paraId="3BF897F7" w14:textId="2B2F6221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  <w:rPr>
                <w:b/>
              </w:rPr>
            </w:pPr>
            <w:r w:rsidRPr="00467FAD">
              <w:t>être sensible aux émotions et aux impressions ressenties, être attentif à</w:t>
            </w:r>
            <w:r w:rsidR="00A472E7">
              <w:t> </w:t>
            </w:r>
            <w:r w:rsidRPr="00467FAD">
              <w:t xml:space="preserve">la manière dont les propos ont été formulés </w:t>
            </w:r>
            <w:r>
              <w:t>selon les éléments analysés</w:t>
            </w:r>
            <w:r w:rsidRPr="00467FAD">
              <w:t>;</w:t>
            </w:r>
          </w:p>
          <w:p w14:paraId="4AEAA157" w14:textId="53E1F063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  <w:rPr>
                <w:b/>
              </w:rPr>
            </w:pPr>
            <w:r w:rsidRPr="00467FAD">
              <w:t>comparer sa compréhension et son interprétation par rapport à celle</w:t>
            </w:r>
            <w:r w:rsidR="00794F3E">
              <w:t>s</w:t>
            </w:r>
            <w:r w:rsidRPr="00467FAD">
              <w:t xml:space="preserve"> des autres, réviser ses perceptions</w:t>
            </w:r>
            <w:r>
              <w:t>,</w:t>
            </w:r>
            <w:r w:rsidRPr="00467FAD">
              <w:t xml:space="preserve"> au besoin.</w:t>
            </w:r>
          </w:p>
          <w:p w14:paraId="263C72CE" w14:textId="77777777" w:rsidR="00926392" w:rsidRPr="005808FB" w:rsidRDefault="00926392" w:rsidP="00926392">
            <w:pPr>
              <w:spacing w:before="60" w:after="60" w:line="240" w:lineRule="auto"/>
              <w:rPr>
                <w:rFonts w:ascii="Calibri" w:eastAsia="Calibri" w:hAnsi="Calibri" w:cs="Opus-Regular"/>
                <w:b/>
                <w:sz w:val="22"/>
              </w:rPr>
            </w:pPr>
            <w:r w:rsidRPr="005808FB">
              <w:rPr>
                <w:rFonts w:ascii="Calibri" w:eastAsia="Calibri" w:hAnsi="Calibri" w:cs="Opus-Regular"/>
                <w:b/>
                <w:sz w:val="22"/>
              </w:rPr>
              <w:t>Retour sur sa démarche d’écoute</w:t>
            </w:r>
          </w:p>
          <w:p w14:paraId="780D0766" w14:textId="77777777" w:rsidR="00926392" w:rsidRPr="00467FAD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 w:rsidRPr="00467FAD">
              <w:t xml:space="preserve">réfléchir à l’efficacité de </w:t>
            </w:r>
            <w:r>
              <w:t xml:space="preserve">la </w:t>
            </w:r>
            <w:r w:rsidRPr="00467FAD">
              <w:t>prise de notes</w:t>
            </w:r>
            <w:r>
              <w:t xml:space="preserve"> et d</w:t>
            </w:r>
            <w:r w:rsidRPr="00467FAD">
              <w:t>es stratégies d’écoute</w:t>
            </w:r>
            <w:r>
              <w:t xml:space="preserve"> </w:t>
            </w:r>
            <w:r w:rsidRPr="00467FAD">
              <w:t>et de prise de parole;</w:t>
            </w:r>
          </w:p>
          <w:p w14:paraId="26E1C799" w14:textId="77777777" w:rsidR="00926392" w:rsidRDefault="00926392" w:rsidP="00926392">
            <w:pPr>
              <w:pStyle w:val="BulletRond"/>
              <w:framePr w:hSpace="0" w:wrap="auto" w:hAnchor="text" w:xAlign="left" w:yAlign="inline"/>
              <w:spacing w:before="60" w:after="60"/>
            </w:pPr>
            <w:r w:rsidRPr="00467FAD">
              <w:t>proposer des pistes d’amélioration pour une meilleure compréhension.</w:t>
            </w:r>
          </w:p>
        </w:tc>
        <w:tc>
          <w:tcPr>
            <w:tcW w:w="5778" w:type="dxa"/>
            <w:gridSpan w:val="2"/>
            <w:shd w:val="clear" w:color="auto" w:fill="auto"/>
          </w:tcPr>
          <w:p w14:paraId="3EB2EFA8" w14:textId="77777777" w:rsidR="00926392" w:rsidRDefault="00926392" w:rsidP="00926392">
            <w:pPr>
              <w:spacing w:before="60" w:after="60"/>
            </w:pPr>
          </w:p>
        </w:tc>
      </w:tr>
    </w:tbl>
    <w:p w14:paraId="6ACA9C2A" w14:textId="1B6B5CD2" w:rsidR="00CC4437" w:rsidRPr="00007DC7" w:rsidRDefault="00CC4437" w:rsidP="00B5717E"/>
    <w:sectPr w:rsidR="00CC4437" w:rsidRPr="00007DC7" w:rsidSect="00794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BC382A" w:rsidRDefault="00BC382A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BC382A" w:rsidRDefault="00BC382A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BC382A" w:rsidRDefault="00BC382A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BC382A" w:rsidRDefault="00BC382A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BC382A" w:rsidRDefault="00BC38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BC382A" w:rsidRDefault="00BC382A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BC382A" w14:paraId="28488AF4" w14:textId="77777777" w:rsidTr="004F22B2">
      <w:tc>
        <w:tcPr>
          <w:tcW w:w="4791" w:type="pct"/>
          <w:vAlign w:val="center"/>
        </w:tcPr>
        <w:p w14:paraId="324F62E3" w14:textId="3A39591D" w:rsidR="00BC382A" w:rsidRDefault="00BC382A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2DAA1414">
                <wp:extent cx="4828032" cy="33361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BC382A" w:rsidRPr="005B321D" w:rsidRDefault="00BC382A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1A1D32" w:rsidRPr="001A1D32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BC382A" w:rsidRPr="00307D88" w:rsidRDefault="00BC382A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2A72" w14:textId="77777777" w:rsidR="00FE263C" w:rsidRDefault="00FE263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BC382A" w:rsidRDefault="00BC382A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BC382A" w:rsidRDefault="00BC382A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BC382A" w:rsidRDefault="00BC38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BC382A" w:rsidRDefault="00BC382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BC382A" w:rsidRDefault="00BC382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E134" w14:textId="77777777" w:rsidR="00FE263C" w:rsidRDefault="00FE263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F46B" w14:textId="77777777" w:rsidR="00FE263C" w:rsidRDefault="00FE263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6DC"/>
    <w:multiLevelType w:val="hybridMultilevel"/>
    <w:tmpl w:val="AE5C9B98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2F8407EC"/>
    <w:multiLevelType w:val="hybridMultilevel"/>
    <w:tmpl w:val="2F08BAE6"/>
    <w:lvl w:ilvl="0" w:tplc="A4EC9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86002"/>
    <w:multiLevelType w:val="hybridMultilevel"/>
    <w:tmpl w:val="32180BEC"/>
    <w:lvl w:ilvl="0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4442"/>
    <w:multiLevelType w:val="hybridMultilevel"/>
    <w:tmpl w:val="59B25ABE"/>
    <w:lvl w:ilvl="0" w:tplc="A4EC9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A06A0"/>
    <w:multiLevelType w:val="hybridMultilevel"/>
    <w:tmpl w:val="62FA6D08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962F0"/>
    <w:multiLevelType w:val="hybridMultilevel"/>
    <w:tmpl w:val="FE022880"/>
    <w:lvl w:ilvl="0" w:tplc="A4EC9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5"/>
  </w:num>
  <w:num w:numId="7">
    <w:abstractNumId w:val="9"/>
  </w:num>
  <w:num w:numId="8">
    <w:abstractNumId w:val="4"/>
  </w:num>
  <w:num w:numId="9">
    <w:abstractNumId w:val="17"/>
  </w:num>
  <w:num w:numId="10">
    <w:abstractNumId w:val="1"/>
  </w:num>
  <w:num w:numId="11">
    <w:abstractNumId w:val="20"/>
  </w:num>
  <w:num w:numId="12">
    <w:abstractNumId w:val="21"/>
  </w:num>
  <w:num w:numId="13">
    <w:abstractNumId w:val="19"/>
  </w:num>
  <w:num w:numId="14">
    <w:abstractNumId w:val="10"/>
  </w:num>
  <w:num w:numId="15">
    <w:abstractNumId w:val="6"/>
  </w:num>
  <w:num w:numId="16">
    <w:abstractNumId w:val="8"/>
  </w:num>
  <w:num w:numId="17">
    <w:abstractNumId w:val="0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A1D32"/>
    <w:rsid w:val="001B1DAA"/>
    <w:rsid w:val="001B59FB"/>
    <w:rsid w:val="001C5CE5"/>
    <w:rsid w:val="0021290A"/>
    <w:rsid w:val="00242538"/>
    <w:rsid w:val="00307D88"/>
    <w:rsid w:val="00335E9D"/>
    <w:rsid w:val="003B49A2"/>
    <w:rsid w:val="003E5991"/>
    <w:rsid w:val="00425950"/>
    <w:rsid w:val="0043198E"/>
    <w:rsid w:val="004A326C"/>
    <w:rsid w:val="004D7059"/>
    <w:rsid w:val="004F22B2"/>
    <w:rsid w:val="004F2D9D"/>
    <w:rsid w:val="00511102"/>
    <w:rsid w:val="00551569"/>
    <w:rsid w:val="0055287E"/>
    <w:rsid w:val="00553C8B"/>
    <w:rsid w:val="00557765"/>
    <w:rsid w:val="005661E9"/>
    <w:rsid w:val="005B321D"/>
    <w:rsid w:val="005E1FC2"/>
    <w:rsid w:val="005F1BE4"/>
    <w:rsid w:val="00603CEB"/>
    <w:rsid w:val="006970CD"/>
    <w:rsid w:val="006F1013"/>
    <w:rsid w:val="00736BD0"/>
    <w:rsid w:val="00775A9E"/>
    <w:rsid w:val="00794F3E"/>
    <w:rsid w:val="007E44AF"/>
    <w:rsid w:val="007E6DDF"/>
    <w:rsid w:val="008129D0"/>
    <w:rsid w:val="00833E0E"/>
    <w:rsid w:val="00861013"/>
    <w:rsid w:val="008B258E"/>
    <w:rsid w:val="00901942"/>
    <w:rsid w:val="00904663"/>
    <w:rsid w:val="00926392"/>
    <w:rsid w:val="009319A9"/>
    <w:rsid w:val="00986255"/>
    <w:rsid w:val="009B1447"/>
    <w:rsid w:val="009D493F"/>
    <w:rsid w:val="009D63FB"/>
    <w:rsid w:val="00A472E7"/>
    <w:rsid w:val="00A51922"/>
    <w:rsid w:val="00A61A25"/>
    <w:rsid w:val="00AB6406"/>
    <w:rsid w:val="00AD0598"/>
    <w:rsid w:val="00AD511E"/>
    <w:rsid w:val="00AD6F3D"/>
    <w:rsid w:val="00AE0532"/>
    <w:rsid w:val="00AE179D"/>
    <w:rsid w:val="00B5717E"/>
    <w:rsid w:val="00B92645"/>
    <w:rsid w:val="00BC37DF"/>
    <w:rsid w:val="00BC382A"/>
    <w:rsid w:val="00BE7415"/>
    <w:rsid w:val="00C00F0B"/>
    <w:rsid w:val="00C03771"/>
    <w:rsid w:val="00C3341A"/>
    <w:rsid w:val="00C56FF8"/>
    <w:rsid w:val="00CC4437"/>
    <w:rsid w:val="00D10016"/>
    <w:rsid w:val="00D141A3"/>
    <w:rsid w:val="00D771A5"/>
    <w:rsid w:val="00DA3250"/>
    <w:rsid w:val="00DB3C0D"/>
    <w:rsid w:val="00EB0779"/>
    <w:rsid w:val="00EC3583"/>
    <w:rsid w:val="00F21124"/>
    <w:rsid w:val="00FA55A8"/>
    <w:rsid w:val="00FE263C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TEXTECOURANT">
    <w:name w:val="TEXTE COURANT"/>
    <w:basedOn w:val="Normal"/>
    <w:uiPriority w:val="99"/>
    <w:rsid w:val="003E5991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TEXTECOURANT">
    <w:name w:val="TEXTE COURANT"/>
    <w:basedOn w:val="Normal"/>
    <w:uiPriority w:val="99"/>
    <w:rsid w:val="003E5991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235619"/>
    <w:rsid w:val="00644F0C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C259C4-CE95-684D-A39A-D25A41489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0A1365-2BBF-4B7F-8DDB-DBAD653D2DF6}"/>
</file>

<file path=customXml/itemProps4.xml><?xml version="1.0" encoding="utf-8"?>
<ds:datastoreItem xmlns:ds="http://schemas.openxmlformats.org/officeDocument/2006/customXml" ds:itemID="{EC4C75C9-3201-44AD-8C29-9EF27291675C}"/>
</file>

<file path=customXml/itemProps5.xml><?xml version="1.0" encoding="utf-8"?>
<ds:datastoreItem xmlns:ds="http://schemas.openxmlformats.org/officeDocument/2006/customXml" ds:itemID="{8C1AA780-5EC2-4D48-BF2C-E4FD66088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1226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13</cp:revision>
  <cp:lastPrinted>2014-09-19T17:54:00Z</cp:lastPrinted>
  <dcterms:created xsi:type="dcterms:W3CDTF">2014-10-14T17:23:00Z</dcterms:created>
  <dcterms:modified xsi:type="dcterms:W3CDTF">2015-03-30T15:39:00Z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